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9377F2">
        <w:rPr>
          <w:rFonts w:ascii="Arial" w:hAnsi="Arial" w:cs="Arial"/>
        </w:rPr>
        <w:t>3</w:t>
      </w:r>
      <w:r w:rsidR="004A222C" w:rsidRPr="00E662F6">
        <w:rPr>
          <w:rFonts w:ascii="Arial" w:hAnsi="Arial" w:cs="Arial"/>
        </w:rPr>
        <w:t xml:space="preserve"> roky</w:t>
      </w:r>
      <w:r w:rsidR="009377F2">
        <w:rPr>
          <w:rFonts w:ascii="Arial" w:hAnsi="Arial" w:cs="Arial"/>
        </w:rPr>
        <w:t xml:space="preserve">, </w:t>
      </w:r>
      <w:r w:rsidR="009377F2" w:rsidRPr="00F707C2">
        <w:rPr>
          <w:rFonts w:ascii="Arial" w:hAnsi="Arial" w:cs="Arial"/>
        </w:rPr>
        <w:t>znalost systému jakosti a auditování (v souladu s prováděcím nařízením komise (EU</w:t>
      </w:r>
      <w:r w:rsidR="009377F2">
        <w:rPr>
          <w:rFonts w:ascii="Arial" w:hAnsi="Arial" w:cs="Arial"/>
        </w:rPr>
        <w:t xml:space="preserve">) č. 748/2012, Part 21, bod </w:t>
      </w:r>
      <w:r w:rsidR="009377F2" w:rsidRPr="00F707C2">
        <w:rPr>
          <w:rFonts w:ascii="Arial" w:hAnsi="Arial" w:cs="Arial"/>
        </w:rPr>
        <w:t>2</w:t>
      </w:r>
      <w:r w:rsidR="009377F2">
        <w:rPr>
          <w:rFonts w:ascii="Arial" w:hAnsi="Arial" w:cs="Arial"/>
        </w:rPr>
        <w:t>1.B.25</w:t>
      </w:r>
      <w:r w:rsidR="009377F2">
        <w:rPr>
          <w:rFonts w:ascii="Arial" w:hAnsi="Arial" w:cs="Arial"/>
        </w:rPr>
        <w:t>)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377F2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396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189D-416F-4968-951D-9716786C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15</cp:revision>
  <dcterms:created xsi:type="dcterms:W3CDTF">2016-03-01T06:52:00Z</dcterms:created>
  <dcterms:modified xsi:type="dcterms:W3CDTF">2024-03-15T10:01:00Z</dcterms:modified>
</cp:coreProperties>
</file>